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Alwin Alexander, Dr. Asha Baby Mathews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EN010302-Post Colonial Fiction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become familiar with the writing, reading and critical theoretical practices based on the Postcolonial experience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acquired a conceptual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orientation in the area of Postcolonial studies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acquired an India specific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orientation in the area of Postcolonial studies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acquired a West Asia specific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orientation in the area of Postcolonial studies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acquired an Africa/South America/Caribbean specific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orientation in the area of Postcolonial studies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 Viva</w:t>
            </w:r>
          </w:p>
        </w:tc>
      </w:tr>
    </w:tbl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Bill Ashcroft, Gareth Griffiths &amp; Helen Tiffin: “Cutting the Ground: Critical Models of PostColonial Literatures” in The Empire Writes Back: Theory and Practice in Post- Colonial Literatures. Routledge, 1989. (Chapter 1 PP.15-37)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Dipesh Chakrabarty: “Introduction: The Idea of Provincialising Europe” in Provincialising Europe: Postcolonial Thought and Historical Difference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 Ania Loomba: “Feminism, Nationalism and Postcolonialism” in Colonialism/Postcolonialism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Cutting the Ground: Critical Models of PostColonial Literatures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Introduction: The Idea of Provincialising Europe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Feminism, Nationalism and Postcolonialism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Homi K. Bhabha: “Of Mimicry and Man: The Ambivalence of Colonial Discourse” in Homi K. Bhabha. Location of Culture. Routledge, 1994. (PP.85-92)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Gayatri Chakravorty Spivak: “The Burden of English” in Gregory Castle (ed) Postcolonial Discourses: An Anthology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Salman Rushdie: East, West [“The Prophet’s Hair” &amp; “Yorick”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 Ayyappan: “Spectral Speech” &amp; “Madness” [V. C. Harris translation…]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Of Mimicry and Man: The Ambivalence of Colonial Discourse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The Burden of English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Spectral Speech” &amp; “Madness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Edward W. Said: “Narrative and Social Space” in Culture and Imperialism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Tayeb Salih: Season of Migration to the North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Assia Djebar: Women of Algiers in Their Apartment [“Day of Ramadan”]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Najwa Qa‘war Farah: For Whom Does Spring Come [“The Worst of Two Choices or The Forsaken Olive Trees”]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Khayriyah Ibrahim as-Saqqaf: “The Assassination of Light at the River’s Flow”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Narrative and Social Space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Season of Migration to the North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Day of Ramadan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he Worst of Two Choices or The Forsaken Olive Trees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The Assassination of Light at the River’s Flow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dmxLsOfJnT+AIffggp/8ZYYOrw==">AMUW2mXBwQPUVXh2Ftr4uNPxheb6uCoOdL0A044VK2QR3RiGiDd2k3E7pzl4pJv0SHr/IK6/+NnjN251zCo/6UrnlbfFuCKDVn37waUjCVoixX14gHuj2p4=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