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Dr. Cheri Jacob K, Dr Akhila Narayanan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EN010101- Up Until Chaucer: Early Literatures in 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learner will be able to make sense of the major themes in Ancient and Medieval English literature as an expression of Anglo-Saxon culture and society as it emerges into a British-consciousness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The learner will understand the historical and cultural context of Old and Middle English literature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The learner will acquire knowledge of major Old and  MIddle English literary works and authors such as Chaucer, Gower and Langland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The learner will understand the literary style of Old and Middle English, including its poetic forms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The learner will understand the social, religious and political themes that are explored in Old and Middle English literature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1 - Early Poetry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Exeter Book Riddles: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Riddle 11 - ‘Wine’, Riddle 25 - ‘Onion’, Riddle 45 - ‘Dough’, ‘The Dream of the Rood’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‘Deor’s Lament’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Husband’s Message’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Wanderer’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Seafarer’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Wife’s Lament’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Riddle 11 - ‘Wine’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Riddle 25 - ‘Onion’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Riddle 45 - ‘Dough’.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Dream of the Rood’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‘Deor’s Lament’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Husband’s Message’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Wanderer’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Seafarer’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Wife’s Lament’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    Early Prose and Drama                          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Bede: On Caedmon [including Caedmon’s hymn...]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Julian of Norwich: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Revelations of Divine Love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[Chapter 60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Kind, Loving, Mother”]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“Noah’s Flood” from the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Chester Mystery Cycle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York Play of the Crucifixion”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King Alfred: Preface to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Pastoral 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Robin Hood Play-fragments – Knight; Potter; Frair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Bede: On Caedmon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Julian of Norwich: “The Kind, Loving, Mother”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“Noah’s Flood”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York Play of the Crucifixion”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King Alfred: Preface to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Pastoral 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Robin Hood Play-fragments – Knight; Potter; Frair [3]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3 - Epic, Romance and Lyric                         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Selection from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Beowulf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[Parts 11 to 18 – Grendel’s Battle With Beowulf]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Sir Thomas Malory: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Le Morte D’arthur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[Book 5 – King Arthur defeats Roman Emperor Lucius]</w:t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Sir Orfeo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Cuckoo Song,’</w:t>
              <w:br w:type="textWrapping"/>
              <w:t xml:space="preserve">‘Sunset on Calvary,’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‘I Sing of a Maiden,’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Maiden in the mor lay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Grendel’s Battle With Beowulf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Le Morte D’arthur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[Book 5 – King Arthur defeats Roman Emperor Lucius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Sir Orfeo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Cuckoo Song,’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‘Sunset on Calvary,’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‘I Sing of a Maiden,’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Maiden in the mor lay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4: Geoffrey Chaucer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4.1 General Prologue to Canterbury Tales: Introduction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4.2 General Prologue to Canterbury Tales: Wife of Bath [Thumbnail Profile] 4.3 From The Canterbury Tales: ‘The Wife of Bath Prologue and Tale.’ 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Seminar: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4.4 Troilus and Criseyde by Geoffrey Chaucer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CO3, CO4,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General Prologue to Canterbury Tales: Introduction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CO3, CO4,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General Prologue to Canterbury Tales: Wife of Bath [Thumbnail Profile] 4.3 From The Canterbury Tales: ‘The Wife of Bath Prologue and Tale.’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CO3, CO4,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Troilus and Criseyde by Geoffrey Chaucer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5.1 John Gower: Confessio Amantis – The Tale of Narcissus: Book 1. Lines 2275-2380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5.2 Thomas Hoccleve: ‘Lament for Chaucer’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 Seminar: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5.3 William Langland’s</w:t>
            </w:r>
            <w:r w:rsidDel="00000000" w:rsidR="00000000" w:rsidRPr="00000000">
              <w:rPr>
                <w:i w:val="1"/>
                <w:rtl w:val="0"/>
              </w:rPr>
              <w:t xml:space="preserve"> Piers Plowman </w:t>
            </w:r>
            <w:r w:rsidDel="00000000" w:rsidR="00000000" w:rsidRPr="00000000">
              <w:rPr>
                <w:rtl w:val="0"/>
              </w:rPr>
              <w:t xml:space="preserve">– Prologue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CO3, CO4,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John Gower: Confessio Amantis – The Tale of Narcissus: Book 1. Lines 2275-2380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CO3, CO4,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Thomas Hoccleve: ‘Lament for Chaucer’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CO3, CO4,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William Langland’s</w:t>
            </w:r>
            <w:r w:rsidDel="00000000" w:rsidR="00000000" w:rsidRPr="00000000">
              <w:rPr>
                <w:i w:val="1"/>
                <w:rtl w:val="0"/>
              </w:rPr>
              <w:t xml:space="preserve"> Piers Plowman </w:t>
            </w:r>
            <w:r w:rsidDel="00000000" w:rsidR="00000000" w:rsidRPr="00000000">
              <w:rPr>
                <w:rtl w:val="0"/>
              </w:rPr>
              <w:t xml:space="preserve">– Prologue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r9b9XvnK8Zl/rtfGs+5hcik4A==">CgMxLjA4AHIhMVJVXzc0TVVSMWM0dUpUQjlLZjc3clNBSnFobVAzc01o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