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Dr.Sonia Chacko, Alwin Alexander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.968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EN6CRT10- Postcolonial Literatures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570.0" w:type="dxa"/>
        <w:jc w:val="left"/>
        <w:tblInd w:w="-3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5430"/>
        <w:gridCol w:w="3210"/>
        <w:tblGridChange w:id="0">
          <w:tblGrid>
            <w:gridCol w:w="930"/>
            <w:gridCol w:w="5430"/>
            <w:gridCol w:w="3210"/>
          </w:tblGrid>
        </w:tblGridChange>
      </w:tblGrid>
      <w:tr>
        <w:trPr>
          <w:cantSplit w:val="0"/>
          <w:trHeight w:val="148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Sensitize students to the social, political and cultural aspects of postcolonial societies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Acquaint students with the richness and scope of new literatures from formerly colonised countries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Interrogate Eurocentric notions about identity and culture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Familiarise students with the diverse and complex postcolonial identities and heterogeneous cultures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Interrogate the canon and expand the terrain of literary studies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Assignment, Seminar, Viva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36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Syllabus:Essay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CO1,3,5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From ‘Commonwealth’ to ‘Postcolonial’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Syllabus: Poetry 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A Prison Evening by Faiz Ahmed Faiz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Small Scale Reflections on a Great House by A K Ramanujan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Revolving Days by David Malouf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Civilian and Soldier by Wole Soyinka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Journey to the Interior by Margaret Atwood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Prison Evening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Small Scale Reflections on a Great House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Revolving Days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Journey to the Interior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rHeight w:val="73.55468749999999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Civilian and Soldier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Syllabus: Drama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Sizwe Bansi is Dead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 play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Summing Up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Syllabus: Fiction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Wide Sargasso Sea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CO$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Summing Up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3gr9Pbdl5Pb1m4YlVkGT6RMgHw==">AMUW2mWvdj0R0gyoLQhAo3HFL1Ow7Xq3YEMgFEQp4/aEnM1lT8poXE0dX6LG/YtJZjw/CUhaUUVs2VeOPSJ9tXkXq7SZqInGZCflnrGWinSubCT03Cyu6ww=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