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Dr. Cheri Jacob K., Rekha Nair, Alwin Alexander, Anu 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EN2CCT03-English III-Issues that Matter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Critically engage with contemporary issues 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Critically engage with issues of censorship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Critically engage with Indigenous Identities and traditions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Critically engage with refugeeism through the texts of study and connect this  to real life issues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Critically engage with environmental issues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005"/>
        <w:gridCol w:w="735"/>
        <w:gridCol w:w="1890"/>
        <w:gridCol w:w="525"/>
        <w:gridCol w:w="1110"/>
        <w:gridCol w:w="3390"/>
        <w:tblGridChange w:id="0">
          <w:tblGrid>
            <w:gridCol w:w="675"/>
            <w:gridCol w:w="1005"/>
            <w:gridCol w:w="735"/>
            <w:gridCol w:w="1890"/>
            <w:gridCol w:w="525"/>
            <w:gridCol w:w="1110"/>
            <w:gridCol w:w="339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1-War and its Aftermath                            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     The Unsurrendered People -Kenzaburo Oe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     The Old Prison - Judith Wright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      War - Luigi Pirandello</w:t>
            </w:r>
          </w:p>
        </w:tc>
      </w:tr>
      <w:tr>
        <w:trPr>
          <w:cantSplit w:val="0"/>
          <w:trHeight w:val="760.664062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rHeight w:val="313.554687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GD - War and its Effects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Unsurrendered People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The Old Prison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rHeight w:val="264.21874999999994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Persuasions on the Power of the Word - Salman Rushdie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Peril - Toni Morrison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The Burning of the Books- Bertolt Brecht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The Censors - Luisa Valenzuela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Persuasions on the Power of the Word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Peril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Burning of the Books- Bertolt Brecht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Censors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Syllabus: Of Culture, Identity and Tradition</w:t>
              <w:br w:type="textWrapping"/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The Poisoned Bread by Bandhu Madhav</w:t>
            </w:r>
          </w:p>
          <w:p w:rsidR="00000000" w:rsidDel="00000000" w:rsidP="00000000" w:rsidRDefault="00000000" w:rsidRPr="00000000" w14:paraId="000000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 Trip Westward by Zitkala Sa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The Pot Maker by Temsula Ao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The Poisoned Bread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 Trip Westward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The Pot Maker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Syllabus: Environment Matters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Does it Matter? by Richard Leakey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On Killing a Tree by Gieve Patel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Hagar: A Story of a Woman and Water by Sarah Joseph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Does it Matter?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On Killing a Tree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Hagar: A Story of a Woman and Water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Understanding Refugeeism- Mallica Mishra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Refugee Blues-  W H Auden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Child Goes to Camp- Ghassan Kanafani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CO1,2,4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Understanding Refugeeism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Reading,lecture,discussion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CO1,2,4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Refugee Blues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CO1,2,4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Child Goes to Camp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lecture,discussion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HPG6xZ2RVsZ6/kQefsn21skkkQ==">AMUW2mXAJIg1HWcPpBAC+mcGw4e4RHZVEUds96nd/QoA0VPzJaZi0j8rlqwkcE5x+SmWWKVV4jyaBnzt22evw0k87PF2nmIe88lknJoqcK1XCusIv/rj5rY=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