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Rekha Nair, Dr.Sonia Chacko, Dr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EN1CCT02- English II- Pearls from the Deep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 is introduced to a world classic and imbibes the writer’s philosophy of life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 recognizes the different elements  that make a short story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 can identify key characters and events in the plot and  express these in writing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learner is introduced to representative American, British, Indian drama and to key elements of drama like plot, character, setting, theme etc.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learner understands and appreciates the aesthetic and formal elements of poetry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0"/>
        <w:gridCol w:w="990"/>
        <w:gridCol w:w="1605"/>
        <w:gridCol w:w="2490"/>
        <w:gridCol w:w="690"/>
        <w:gridCol w:w="120"/>
        <w:gridCol w:w="3075"/>
        <w:tblGridChange w:id="0">
          <w:tblGrid>
            <w:gridCol w:w="600"/>
            <w:gridCol w:w="990"/>
            <w:gridCol w:w="1605"/>
            <w:gridCol w:w="2490"/>
            <w:gridCol w:w="690"/>
            <w:gridCol w:w="120"/>
            <w:gridCol w:w="307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 The Old Man and the Sea - Ernest Hemingway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The Old Man and the Sea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Susan Glaspell: Trifles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Asif Currimbhoy: The Refugee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A.A. Milne: The Boy Comes Home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Trifles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Refugee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Discussion, Quiz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Comes Home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Discussion, Quiz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The Gift of the Magi- O ‘Henry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Two Friends- Guy de Maupassant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Valiant Vicky , the Weaver- Flora Annie Steel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Sparrows- K A Abbas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The Gift of the Magi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CO,2,3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Two Friends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Valiant Vicky , the Weaver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Sparrows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4: Poetry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Syllabus: “Chance of Humming” by Rumi– “Lochinvar” by Walter Scott–  “La Belle Dame sans Mercy” by John Keats– “After Apple Picking” by Robert Frost– “Refugee Mother and Child” by Chinua Achebe – “My Grandmother’s House” by Kamala Das– “Jaguar” by Ted Hughes– “Tonight I can Write the Saddest Lines” by Pablo Neruda– “How Simple!” by P P Ramachandran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 “Chance of Humming” by Rumi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“Lochinvar” by Walter Scott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 “La Belle Dame sans Mercy” by John Keats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“After Apple Picking” by Robert Frost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 “Refugee Mother and Child” by Chinua Achebe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 “My Grandmother’s House” by Kamala Das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“Jaguar” by Ted Hughes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“Tonight I can Write the Saddest Lines” by Pablo Neruda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“How Simple!” by P P Ramachandran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11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aWtPtWTSBtXEf5rZfp1xKOpySA==">AMUW2mWqWOXSmP5AQDxorT4BEbpbhj1Qwe89bGByvJGfKESVcx9odEzn7H+KA8f6YaEjjL2sB6vQGwIQEBdlMwfdYKFnV3v2+dFXOqQYT2OdPKMY0LNIKr8=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